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JDBXtgAAAAMAQAADwAAAAAA&#10;AAABACAAAAAiAAAAZHJzL2Rvd25yZXYueG1sUEsBAhQAFAAAAAgAh07iQEjKKOHaAQAAmwMAAA4A&#10;AAAAAAAAAQAgAAAAJwEAAGRycy9lMm9Eb2MueG1sUEsFBgAAAAAGAAYAWQEAAHM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GUS染色试剂盒（即用型）</w:t>
      </w:r>
      <w:r>
        <w:rPr>
          <w:rFonts w:hint="eastAsia" w:ascii="微软雅黑" w:hAnsi="微软雅黑" w:eastAsia="微软雅黑" w:cs="微软雅黑"/>
          <w:b/>
          <w:bCs/>
          <w:sz w:val="30"/>
          <w:szCs w:val="30"/>
          <w:lang w:val="en-US" w:eastAsia="zh-CN"/>
        </w:rPr>
        <w:t>说明书</w:t>
      </w: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产品简介：</w:t>
      </w:r>
    </w:p>
    <w:p>
      <w:pPr>
        <w:spacing w:beforeLines="0" w:after="75" w:afterLines="0" w:line="360" w:lineRule="auto"/>
        <w:ind w:right="225" w:firstLine="480" w:firstLineChars="200"/>
        <w:jc w:val="left"/>
        <w:rPr>
          <w:rFonts w:hint="default" w:ascii="微软雅黑" w:hAnsi="微软雅黑" w:eastAsia="微软雅黑" w:cs="微软雅黑"/>
          <w:sz w:val="21"/>
          <w:szCs w:val="21"/>
          <w:lang w:val="en-US" w:eastAsia="zh-CN" w:bidi="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sz w:val="21"/>
          <w:szCs w:val="21"/>
          <w:lang w:val="en-US" w:eastAsia="zh-CN" w:bidi="zh-CN"/>
        </w:rPr>
        <w:t>GUS(</w:t>
      </w:r>
      <w:r>
        <w:rPr>
          <w:rFonts w:hint="default" w:ascii="微软雅黑" w:hAnsi="微软雅黑" w:eastAsia="微软雅黑" w:cs="微软雅黑"/>
          <w:sz w:val="21"/>
          <w:szCs w:val="21"/>
          <w:lang w:val="en-US" w:eastAsia="zh-CN" w:bidi="zh-CN"/>
        </w:rPr>
        <w:t>β-Galactosidase)基因是存在于E.coli等一些细菌基因组内的编码β-葡萄糖苷酸酶的一种水解酶，该基因常作为融合标记用于植物转基因分析和调控研究中。GUS受体基因系统有表达E.coli GUS酶的稳定性和在植物内的低活性，绝大多数植物没有检测到葡萄糖苷酸酶的背景活性，以β-葡萄糖苷酸酯类物质为底物，其反应产物可用多种方法检测出来。5-Bromo-chloro-3-indolyl β-D-glucuronide，cyclohexylammonium salt(简称为X-Gluc或X-GlcA)分子量为521.8，CAS号为18656-96-7，是检测大肠杆菌中GUS基因的底物，可快速检测植物中GUS基因融合标记。</w:t>
      </w:r>
    </w:p>
    <w:p>
      <w:pPr>
        <w:spacing w:beforeLines="0" w:after="75" w:afterLines="0" w:line="360" w:lineRule="auto"/>
        <w:ind w:right="225" w:firstLine="420" w:firstLineChars="200"/>
        <w:jc w:val="left"/>
        <w:rPr>
          <w:rFonts w:hint="eastAsia"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GUS染色</w:t>
      </w:r>
      <w:r>
        <w:rPr>
          <w:rFonts w:hint="eastAsia" w:ascii="微软雅黑" w:hAnsi="微软雅黑" w:eastAsia="微软雅黑" w:cs="微软雅黑"/>
          <w:sz w:val="21"/>
          <w:szCs w:val="21"/>
          <w:lang w:val="en-US" w:eastAsia="zh-CN" w:bidi="zh-CN"/>
        </w:rPr>
        <w:t>试剂盒</w:t>
      </w:r>
      <w:r>
        <w:rPr>
          <w:rFonts w:hint="default" w:ascii="微软雅黑" w:hAnsi="微软雅黑" w:eastAsia="微软雅黑" w:cs="微软雅黑"/>
          <w:sz w:val="21"/>
          <w:szCs w:val="21"/>
          <w:lang w:val="en-US" w:eastAsia="zh-CN" w:bidi="zh-CN"/>
        </w:rPr>
        <w:t>(即用型)又称β-葡萄糖苷酶基因染色试剂盒(β-Galactosidase Reporter Gene Staining Kit)简称为GUS染色液，其染色原理是适宜的反应条件下β-葡萄糖苷酶(GUS)可将X-Gluc水解成蓝色物质，该物质不溶解于转基因的细胞核组织中的靛蓝物质，具有GUS活性的部位或位点呈现蓝色或蓝色斑点，可用肉眼或显微镜观察到，GUS染色液可用于生物化学活性分析、免疫分析以及组织和细胞的组织化学染色，多用于转基因植物的GUS基因表达分析，该即用型试剂比常规GUS染色液操作简便。该试剂仅用于科研领域，不适用于临床诊断或其他用途。</w:t>
      </w: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产品组成：</w:t>
      </w:r>
    </w:p>
    <w:tbl>
      <w:tblPr>
        <w:tblStyle w:val="9"/>
        <w:tblpPr w:leftFromText="180" w:rightFromText="180" w:vertAnchor="text" w:horzAnchor="page" w:tblpX="1733"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2659"/>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tabs>
                <w:tab w:val="left" w:pos="1604"/>
              </w:tabs>
              <w:bidi w:val="0"/>
              <w:jc w:val="center"/>
              <w:rPr>
                <w:rFonts w:hint="eastAsia"/>
                <w:vertAlign w:val="baseline"/>
                <w:lang w:val="en-US" w:eastAsia="zh-CN"/>
              </w:rPr>
            </w:pPr>
            <w:r>
              <w:rPr>
                <w:rFonts w:hint="default"/>
                <w:vertAlign w:val="baseline"/>
                <w:lang w:val="en-US" w:eastAsia="zh-CN"/>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17145</wp:posOffset>
                      </wp:positionV>
                      <wp:extent cx="2230120" cy="365125"/>
                      <wp:effectExtent l="635" t="4445" r="17145" b="11430"/>
                      <wp:wrapNone/>
                      <wp:docPr id="5" name="直接连接符 5"/>
                      <wp:cNvGraphicFramePr/>
                      <a:graphic xmlns:a="http://schemas.openxmlformats.org/drawingml/2006/main">
                        <a:graphicData uri="http://schemas.microsoft.com/office/word/2010/wordprocessingShape">
                          <wps:wsp>
                            <wps:cNvCnPr/>
                            <wps:spPr>
                              <a:xfrm>
                                <a:off x="1020445" y="6046470"/>
                                <a:ext cx="2230120" cy="365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5pt;margin-top:1.35pt;height:28.75pt;width:175.6pt;z-index:251659264;mso-width-relative:page;mso-height-relative:page;" filled="f" stroked="t" coordsize="21600,21600" o:gfxdata="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7ym/X&#10;AAAACAEAAA8AAAAAAAAAAQAgAAAAIgAAAGRycy9kb3ducmV2LnhtbFBLAQIUABQAAAAIAIdO4kCR&#10;gmPH6AEAAJYDAAAOAAAAAAAAAAEAIAAAACYBAABkcnMvZTJvRG9jLnhtbFBLBQYAAAAABgAGAFkB&#10;AACABQAAAAA=&#10;">
                      <v:fill on="f" focussize="0,0"/>
                      <v:stroke color="#000000 [3200]" joinstyle="round"/>
                      <v:imagedata o:title=""/>
                      <o:lock v:ext="edit" aspectratio="f"/>
                    </v:line>
                  </w:pict>
                </mc:Fallback>
              </mc:AlternateContent>
            </w:r>
            <w:r>
              <w:rPr>
                <w:rFonts w:hint="eastAsia"/>
                <w:vertAlign w:val="baseline"/>
                <w:lang w:val="en-US" w:eastAsia="zh-CN"/>
              </w:rPr>
              <w:t xml:space="preserve">                     编号</w:t>
            </w:r>
          </w:p>
          <w:p>
            <w:pPr>
              <w:tabs>
                <w:tab w:val="left" w:pos="1604"/>
              </w:tabs>
              <w:bidi w:val="0"/>
              <w:jc w:val="both"/>
              <w:rPr>
                <w:rFonts w:hint="default"/>
                <w:vertAlign w:val="baseline"/>
                <w:lang w:val="en-US" w:eastAsia="zh-CN"/>
              </w:rPr>
            </w:pPr>
            <w:r>
              <w:rPr>
                <w:rFonts w:hint="eastAsia"/>
                <w:vertAlign w:val="baseline"/>
                <w:lang w:val="en-US" w:eastAsia="zh-CN"/>
              </w:rPr>
              <w:t>名称</w:t>
            </w:r>
          </w:p>
        </w:tc>
        <w:tc>
          <w:tcPr>
            <w:tcW w:w="2659" w:type="dxa"/>
          </w:tcPr>
          <w:p>
            <w:pPr>
              <w:tabs>
                <w:tab w:val="left" w:pos="1604"/>
              </w:tabs>
              <w:bidi w:val="0"/>
              <w:jc w:val="center"/>
              <w:rPr>
                <w:rFonts w:hint="eastAsia"/>
                <w:vertAlign w:val="baseline"/>
                <w:lang w:val="en-US" w:eastAsia="zh-CN"/>
              </w:rPr>
            </w:pPr>
            <w:bookmarkStart w:id="0" w:name="_GoBack"/>
            <w:r>
              <w:rPr>
                <w:rFonts w:hint="eastAsia"/>
                <w:vertAlign w:val="baseline"/>
                <w:lang w:val="en-US" w:eastAsia="zh-CN"/>
              </w:rPr>
              <w:t>RC04213</w:t>
            </w:r>
          </w:p>
          <w:bookmarkEnd w:id="0"/>
          <w:p>
            <w:pPr>
              <w:tabs>
                <w:tab w:val="left" w:pos="1604"/>
              </w:tabs>
              <w:bidi w:val="0"/>
              <w:jc w:val="center"/>
              <w:rPr>
                <w:rFonts w:hint="default"/>
                <w:vertAlign w:val="baseline"/>
                <w:lang w:val="en-US" w:eastAsia="zh-CN"/>
              </w:rPr>
            </w:pPr>
            <w:r>
              <w:rPr>
                <w:rFonts w:hint="eastAsia"/>
                <w:vertAlign w:val="baseline"/>
                <w:lang w:val="en-US" w:eastAsia="zh-CN"/>
              </w:rPr>
              <w:t>100ml</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tabs>
                <w:tab w:val="left" w:pos="1604"/>
              </w:tabs>
              <w:bidi w:val="0"/>
              <w:jc w:val="center"/>
              <w:rPr>
                <w:rFonts w:hint="default"/>
                <w:vertAlign w:val="baseline"/>
                <w:lang w:val="en-US" w:eastAsia="zh-CN"/>
              </w:rPr>
            </w:pPr>
            <w:r>
              <w:rPr>
                <w:rFonts w:hint="default"/>
                <w:vertAlign w:val="baseline"/>
                <w:lang w:val="en-US" w:eastAsia="zh-CN"/>
              </w:rPr>
              <w:t>试剂(A): X-Gluc</w:t>
            </w:r>
          </w:p>
        </w:tc>
        <w:tc>
          <w:tcPr>
            <w:tcW w:w="2659" w:type="dxa"/>
          </w:tcPr>
          <w:p>
            <w:pPr>
              <w:tabs>
                <w:tab w:val="left" w:pos="1604"/>
              </w:tabs>
              <w:bidi w:val="0"/>
              <w:jc w:val="center"/>
              <w:rPr>
                <w:rFonts w:hint="default"/>
                <w:vertAlign w:val="baseline"/>
                <w:lang w:val="en-US" w:eastAsia="zh-CN"/>
              </w:rPr>
            </w:pPr>
            <w:r>
              <w:rPr>
                <w:rFonts w:hint="eastAsia"/>
                <w:vertAlign w:val="baseline"/>
                <w:lang w:val="en-US" w:eastAsia="zh-CN"/>
              </w:rPr>
              <w:t>2</w:t>
            </w:r>
            <w:r>
              <w:rPr>
                <w:rFonts w:hint="default"/>
                <w:vertAlign w:val="baseline"/>
                <w:lang w:val="en-US" w:eastAsia="zh-CN"/>
              </w:rPr>
              <w:t>支</w:t>
            </w:r>
          </w:p>
        </w:tc>
        <w:tc>
          <w:tcPr>
            <w:tcW w:w="3072" w:type="dxa"/>
          </w:tcPr>
          <w:p>
            <w:pPr>
              <w:tabs>
                <w:tab w:val="left" w:pos="1604"/>
              </w:tabs>
              <w:bidi w:val="0"/>
              <w:jc w:val="center"/>
              <w:rPr>
                <w:rFonts w:hint="default"/>
                <w:vertAlign w:val="baseline"/>
                <w:lang w:val="en-US" w:eastAsia="zh-CN"/>
              </w:rPr>
            </w:pPr>
            <w:r>
              <w:rPr>
                <w:rFonts w:hint="eastAsia"/>
                <w:vertAlign w:val="baseline"/>
                <w:lang w:val="en-US" w:eastAsia="zh-CN"/>
              </w:rPr>
              <w:t>-20</w:t>
            </w:r>
            <w:r>
              <w:rPr>
                <w:rFonts w:hint="default"/>
                <w:vertAlign w:val="baseline"/>
                <w:lang w:val="en-US" w:eastAsia="zh-CN"/>
              </w:rPr>
              <w:t>℃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tabs>
                <w:tab w:val="left" w:pos="1604"/>
              </w:tabs>
              <w:bidi w:val="0"/>
              <w:jc w:val="center"/>
              <w:rPr>
                <w:rFonts w:hint="default"/>
                <w:vertAlign w:val="baseline"/>
                <w:lang w:val="en-US" w:eastAsia="zh-CN"/>
              </w:rPr>
            </w:pPr>
            <w:r>
              <w:rPr>
                <w:rFonts w:hint="default"/>
                <w:vertAlign w:val="baseline"/>
                <w:lang w:val="en-US" w:eastAsia="zh-CN"/>
              </w:rPr>
              <w:t>试剂(B): X-Gluc Solution</w:t>
            </w:r>
          </w:p>
        </w:tc>
        <w:tc>
          <w:tcPr>
            <w:tcW w:w="2659" w:type="dxa"/>
          </w:tcPr>
          <w:p>
            <w:pPr>
              <w:tabs>
                <w:tab w:val="left" w:pos="1604"/>
              </w:tabs>
              <w:bidi w:val="0"/>
              <w:jc w:val="center"/>
              <w:rPr>
                <w:rFonts w:hint="default"/>
                <w:vertAlign w:val="baseline"/>
                <w:lang w:val="en-US" w:eastAsia="zh-CN"/>
              </w:rPr>
            </w:pPr>
            <w:r>
              <w:rPr>
                <w:rFonts w:hint="eastAsia"/>
                <w:vertAlign w:val="baseline"/>
                <w:lang w:val="en-US" w:eastAsia="zh-CN"/>
              </w:rPr>
              <w:t>2</w:t>
            </w:r>
            <w:r>
              <w:rPr>
                <w:rFonts w:hint="default"/>
                <w:vertAlign w:val="baseline"/>
                <w:lang w:val="en-US" w:eastAsia="zh-CN"/>
              </w:rPr>
              <w:t>×1ml</w:t>
            </w:r>
          </w:p>
        </w:tc>
        <w:tc>
          <w:tcPr>
            <w:tcW w:w="3072" w:type="dxa"/>
          </w:tcPr>
          <w:p>
            <w:pPr>
              <w:tabs>
                <w:tab w:val="left" w:pos="1604"/>
              </w:tabs>
              <w:bidi w:val="0"/>
              <w:jc w:val="center"/>
              <w:rPr>
                <w:rFonts w:hint="default"/>
                <w:vertAlign w:val="baseline"/>
                <w:lang w:val="en-US" w:eastAsia="zh-CN"/>
              </w:rPr>
            </w:pPr>
            <w:r>
              <w:rPr>
                <w:rFonts w:hint="eastAsia"/>
                <w:vertAlign w:val="baseline"/>
                <w:lang w:val="en-US" w:eastAsia="zh-CN"/>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tabs>
                <w:tab w:val="left" w:pos="1604"/>
              </w:tabs>
              <w:bidi w:val="0"/>
              <w:jc w:val="center"/>
              <w:rPr>
                <w:rFonts w:hint="default"/>
                <w:vertAlign w:val="baseline"/>
                <w:lang w:val="en-US" w:eastAsia="zh-CN"/>
              </w:rPr>
            </w:pPr>
            <w:r>
              <w:rPr>
                <w:rFonts w:hint="default"/>
                <w:vertAlign w:val="baseline"/>
                <w:lang w:val="en-US" w:eastAsia="zh-CN"/>
              </w:rPr>
              <w:t>试剂(C): GUS Buffer</w:t>
            </w:r>
          </w:p>
        </w:tc>
        <w:tc>
          <w:tcPr>
            <w:tcW w:w="2659" w:type="dxa"/>
          </w:tcPr>
          <w:p>
            <w:pPr>
              <w:tabs>
                <w:tab w:val="left" w:pos="1604"/>
              </w:tabs>
              <w:bidi w:val="0"/>
              <w:jc w:val="center"/>
              <w:rPr>
                <w:rFonts w:hint="default"/>
                <w:vertAlign w:val="baseline"/>
                <w:lang w:val="en-US" w:eastAsia="zh-CN"/>
              </w:rPr>
            </w:pPr>
            <w:r>
              <w:rPr>
                <w:rFonts w:hint="default"/>
                <w:vertAlign w:val="baseline"/>
                <w:lang w:val="en-US" w:eastAsia="zh-CN"/>
              </w:rPr>
              <w:t>100ml</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4℃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tabs>
                <w:tab w:val="left" w:pos="1604"/>
              </w:tabs>
              <w:bidi w:val="0"/>
              <w:jc w:val="center"/>
              <w:rPr>
                <w:rFonts w:hint="default"/>
                <w:vertAlign w:val="baseline"/>
                <w:lang w:val="en-US" w:eastAsia="zh-CN"/>
              </w:rPr>
            </w:pPr>
            <w:r>
              <w:rPr>
                <w:rFonts w:hint="default"/>
                <w:vertAlign w:val="baseline"/>
                <w:lang w:val="en-US" w:eastAsia="zh-CN"/>
              </w:rPr>
              <w:t xml:space="preserve">使用说明书 </w:t>
            </w:r>
          </w:p>
        </w:tc>
        <w:tc>
          <w:tcPr>
            <w:tcW w:w="5731" w:type="dxa"/>
            <w:gridSpan w:val="2"/>
          </w:tcPr>
          <w:p>
            <w:pPr>
              <w:tabs>
                <w:tab w:val="left" w:pos="1604"/>
              </w:tabs>
              <w:bidi w:val="0"/>
              <w:jc w:val="center"/>
              <w:rPr>
                <w:rFonts w:hint="default"/>
                <w:vertAlign w:val="baseline"/>
                <w:lang w:val="en-US" w:eastAsia="zh-CN"/>
              </w:rPr>
            </w:pPr>
            <w:r>
              <w:rPr>
                <w:rFonts w:hint="default"/>
                <w:vertAlign w:val="baseline"/>
                <w:lang w:val="en-US" w:eastAsia="zh-CN"/>
              </w:rPr>
              <w:t>1 份</w:t>
            </w:r>
          </w:p>
        </w:tc>
      </w:tr>
    </w:tbl>
    <w:p>
      <w:pPr>
        <w:tabs>
          <w:tab w:val="left" w:pos="1604"/>
        </w:tabs>
        <w:bidi w:val="0"/>
        <w:jc w:val="left"/>
        <w:rPr>
          <w:rFonts w:hint="default"/>
          <w:lang w:val="en-US" w:eastAsia="zh-CN"/>
        </w:rPr>
      </w:pPr>
    </w:p>
    <w:p>
      <w:pPr>
        <w:bidi w:val="0"/>
        <w:rPr>
          <w:rFonts w:hint="default" w:ascii="MS Mincho" w:hAnsi="MS Mincho" w:eastAsia="MS Mincho" w:cs="MS Mincho"/>
          <w:sz w:val="22"/>
          <w:szCs w:val="22"/>
          <w:lang w:val="en-US" w:eastAsia="zh-CN" w:bidi="zh-CN"/>
        </w:rPr>
      </w:pP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自备材料：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eastAsia" w:ascii="微软雅黑" w:hAnsi="微软雅黑" w:eastAsia="微软雅黑" w:cs="微软雅黑"/>
          <w:kern w:val="0"/>
          <w:sz w:val="21"/>
          <w:szCs w:val="21"/>
          <w:lang w:val="en-US" w:eastAsia="zh-CN" w:bidi="zh-CN"/>
        </w:rPr>
      </w:pPr>
      <w:r>
        <w:rPr>
          <w:rFonts w:hint="eastAsia" w:ascii="微软雅黑" w:hAnsi="微软雅黑" w:eastAsia="微软雅黑" w:cs="微软雅黑"/>
          <w:kern w:val="0"/>
          <w:sz w:val="21"/>
          <w:szCs w:val="21"/>
          <w:lang w:val="en-US" w:eastAsia="zh-CN" w:bidi="zh-CN"/>
        </w:rPr>
        <w:t>1、</w:t>
      </w:r>
      <w:r>
        <w:rPr>
          <w:rFonts w:hint="default" w:ascii="微软雅黑" w:hAnsi="微软雅黑" w:eastAsia="微软雅黑" w:cs="微软雅黑"/>
          <w:kern w:val="0"/>
          <w:sz w:val="21"/>
          <w:szCs w:val="21"/>
          <w:lang w:val="en-US" w:eastAsia="zh-CN" w:bidi="zh-CN"/>
        </w:rPr>
        <w:t> 70%乙醇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2、 去离子水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3、 小瓶或多孔板、显微镜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p>
    <w:p>
      <w:pPr>
        <w:tabs>
          <w:tab w:val="left" w:pos="1604"/>
        </w:tabs>
        <w:bidi w:val="0"/>
        <w:jc w:val="left"/>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b/>
          <w:bCs/>
          <w:sz w:val="24"/>
          <w:szCs w:val="24"/>
          <w:lang w:val="en-US" w:eastAsia="zh-CN"/>
        </w:rPr>
        <w:t>操作步骤</w:t>
      </w:r>
      <w:r>
        <w:rPr>
          <w:rFonts w:hint="default" w:ascii="微软雅黑" w:hAnsi="微软雅黑" w:eastAsia="微软雅黑" w:cs="微软雅黑"/>
          <w:sz w:val="21"/>
          <w:szCs w:val="21"/>
          <w:lang w:val="en-US" w:eastAsia="zh-CN" w:bidi="zh-CN"/>
        </w:rPr>
        <w:t xml:space="preserve"> (仅供参考)</w:t>
      </w:r>
      <w:r>
        <w:rPr>
          <w:rFonts w:hint="default" w:ascii="微软雅黑" w:hAnsi="微软雅黑" w:eastAsia="微软雅黑" w:cs="微软雅黑"/>
          <w:b/>
          <w:bCs/>
          <w:sz w:val="21"/>
          <w:szCs w:val="21"/>
          <w:lang w:val="en-US" w:eastAsia="zh-CN" w:bidi="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r>
        <w:rPr>
          <w:rFonts w:hint="eastAsia" w:ascii="微软雅黑" w:hAnsi="微软雅黑" w:eastAsia="微软雅黑" w:cs="微软雅黑"/>
          <w:kern w:val="0"/>
          <w:sz w:val="21"/>
          <w:szCs w:val="21"/>
          <w:lang w:val="en-US" w:eastAsia="zh-CN" w:bidi="zh-CN"/>
        </w:rPr>
        <w:t xml:space="preserve">  </w:t>
      </w:r>
      <w:r>
        <w:rPr>
          <w:rFonts w:hint="default" w:ascii="微软雅黑" w:hAnsi="微软雅黑" w:eastAsia="微软雅黑" w:cs="微软雅黑"/>
          <w:kern w:val="0"/>
          <w:sz w:val="21"/>
          <w:szCs w:val="21"/>
          <w:lang w:val="en-US" w:eastAsia="zh-CN" w:bidi="zh-CN"/>
        </w:rPr>
        <w:t>1、配制X-Gluc溶液(50x)：取1ml X-Gluc Solution完全加至1支X-Gluc中，充分溶解，即获得X-Gluc溶液(50x)。配制好的X-Gluc溶液(50x)-20℃保存，1个月有效。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2、配制X-Gluc染色液：取适量的X-Gluc溶液(50x)和GUS Buffer，按1：49比例充分混匀，配制成X-Gluc染色液，如取0.2ml X-Gluc溶液(50x)加入到9.8ml GUS Buffer中，即配成10ml GUS染色液，该染色液现用现配，短期贮存可以4℃保存3天。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3、取适量待染叶片等组织加入适量GUS染色液使其完全浸没组织。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4、37℃孵育1~24h，随着孵育时间的延长，蓝色渐渐出现，当表达量较高时GUS活性的部位或位点呈现蓝色或蓝色斑点。</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用70%乙醇脱去样本的叶绿素，一般样本浸没于乙醇1～3h，至阴性对照呈白色。如有必要可重复该脱色步骤，以便彻底清除叶绿素；样本保存于乙醇中，可用肉眼或普通光学显微镜下观察，白色背景上的蓝色即为GUS表达位点。</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autoSpaceDE w:val="0"/>
        <w:autoSpaceDN w:val="0"/>
        <w:spacing w:before="0" w:beforeAutospacing="0" w:after="0" w:afterAutospacing="0" w:line="405" w:lineRule="atLeast"/>
        <w:ind w:right="0" w:rightChars="0"/>
        <w:jc w:val="left"/>
        <w:rPr>
          <w:rFonts w:hint="default" w:ascii="微软雅黑" w:hAnsi="微软雅黑" w:eastAsia="微软雅黑" w:cs="微软雅黑"/>
          <w:kern w:val="0"/>
          <w:sz w:val="21"/>
          <w:szCs w:val="21"/>
          <w:lang w:val="en-US" w:eastAsia="zh-CN" w:bidi="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default" w:ascii="微软雅黑" w:hAnsi="微软雅黑" w:eastAsia="微软雅黑" w:cs="微软雅黑"/>
          <w:b/>
          <w:bCs/>
          <w:kern w:val="0"/>
          <w:sz w:val="24"/>
          <w:szCs w:val="24"/>
          <w:lang w:val="en-US" w:eastAsia="zh-CN" w:bidi="zh-CN"/>
        </w:rPr>
      </w:pPr>
      <w:r>
        <w:rPr>
          <w:rFonts w:hint="default" w:ascii="微软雅黑" w:hAnsi="微软雅黑" w:eastAsia="微软雅黑" w:cs="微软雅黑"/>
          <w:b/>
          <w:bCs/>
          <w:kern w:val="0"/>
          <w:sz w:val="24"/>
          <w:szCs w:val="24"/>
          <w:lang w:val="en-US" w:eastAsia="zh-CN" w:bidi="zh-CN"/>
        </w:rPr>
        <w:t>注意事项：</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leftChars="0" w:right="0" w:rightChars="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1、  GUS染色液一般冰上配制，可以4℃避光保存3天。</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leftChars="0" w:right="0" w:rightChars="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2、  由于组织特异性等原因，蓝色颜色反应可能不完全一致，应注意摸索具体实验条件。</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leftChars="0" w:right="0" w:rightChars="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3、  拟南芥的根、花和叶片以及烟草幼苗根就可直接染色；烟草和马铃薯这些植物的茎和叶须在染色前切成薄片(1~3mm)。</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leftChars="0" w:right="0" w:rightChars="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4、  当操作大的组织和样品时可以选用真空渗入法来帮助底物和酶渗入细胞，建议采购常规GUS染色液。</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leftChars="0" w:right="0" w:rightChars="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kern w:val="0"/>
          <w:sz w:val="21"/>
          <w:szCs w:val="21"/>
          <w:lang w:val="en-US" w:eastAsia="zh-CN" w:bidi="zh-CN"/>
        </w:rPr>
        <w:t>5、  GUS染色液(即用型)染色灵敏度较好，但有时会出现非特异性反应(即假阳性)，如非特异性反应较明显，建议采购常规GUS染色液</w:t>
      </w:r>
      <w:r>
        <w:rPr>
          <w:rFonts w:hint="eastAsia" w:ascii="微软雅黑" w:hAnsi="微软雅黑" w:eastAsia="微软雅黑" w:cs="微软雅黑"/>
          <w:kern w:val="0"/>
          <w:sz w:val="21"/>
          <w:szCs w:val="21"/>
          <w:lang w:val="en-US" w:eastAsia="zh-CN" w:bidi="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360" w:right="0" w:firstLine="0"/>
        <w:jc w:val="left"/>
        <w:rPr>
          <w:rFonts w:hint="default" w:ascii="微软雅黑" w:hAnsi="微软雅黑" w:eastAsia="微软雅黑" w:cs="微软雅黑"/>
          <w:kern w:val="0"/>
          <w:sz w:val="21"/>
          <w:szCs w:val="21"/>
          <w:lang w:val="en-US" w:eastAsia="zh-CN" w:bidi="zh-CN"/>
        </w:rPr>
      </w:pPr>
      <w:r>
        <w:rPr>
          <w:rFonts w:hint="default" w:ascii="微软雅黑" w:hAnsi="微软雅黑" w:eastAsia="微软雅黑" w:cs="微软雅黑"/>
          <w:b/>
          <w:bCs/>
          <w:kern w:val="0"/>
          <w:sz w:val="24"/>
          <w:szCs w:val="24"/>
          <w:lang w:val="en-US" w:eastAsia="zh-CN" w:bidi="zh-CN"/>
        </w:rPr>
        <w:t>有效期： </w:t>
      </w:r>
      <w:r>
        <w:rPr>
          <w:rFonts w:hint="default" w:ascii="微软雅黑" w:hAnsi="微软雅黑" w:eastAsia="微软雅黑" w:cs="微软雅黑"/>
          <w:kern w:val="0"/>
          <w:sz w:val="21"/>
          <w:szCs w:val="21"/>
          <w:lang w:val="en-US" w:eastAsia="zh-CN" w:bidi="zh-CN"/>
        </w:rPr>
        <w:t>6个月有效。</w:t>
      </w: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503309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9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yiChdcAAAAIAQAADwAAAAAAAAABACAA&#10;AAAiAAAAZHJzL2Rvd25yZXYueG1sUEsBAhQAFAAAAAgAh07iQAwJfCdHAgAAgwQAAA4AAAAAAAAA&#10;AQAgAAAAJgEAAGRycy9lMm9Eb2MueG1sUEsFBgAAAAAGAAYAWQEAAN8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FF1D9"/>
    <w:multiLevelType w:val="singleLevel"/>
    <w:tmpl w:val="6C0FF1D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3A55FB4"/>
    <w:rsid w:val="05061FA2"/>
    <w:rsid w:val="07D93DA0"/>
    <w:rsid w:val="08314152"/>
    <w:rsid w:val="08E22FF9"/>
    <w:rsid w:val="09771772"/>
    <w:rsid w:val="0A160B13"/>
    <w:rsid w:val="0CD03759"/>
    <w:rsid w:val="0E05003A"/>
    <w:rsid w:val="0EF37BC9"/>
    <w:rsid w:val="0F891780"/>
    <w:rsid w:val="10B937BA"/>
    <w:rsid w:val="1257478E"/>
    <w:rsid w:val="133270C2"/>
    <w:rsid w:val="13747265"/>
    <w:rsid w:val="15094E42"/>
    <w:rsid w:val="17BE39E4"/>
    <w:rsid w:val="17C72D48"/>
    <w:rsid w:val="18F21F10"/>
    <w:rsid w:val="1A111D38"/>
    <w:rsid w:val="1A6243E1"/>
    <w:rsid w:val="1C4A5DCF"/>
    <w:rsid w:val="1C6F5233"/>
    <w:rsid w:val="1DE47B23"/>
    <w:rsid w:val="1ECA2316"/>
    <w:rsid w:val="1ED51427"/>
    <w:rsid w:val="206B29DA"/>
    <w:rsid w:val="232A2082"/>
    <w:rsid w:val="23FF188A"/>
    <w:rsid w:val="242E270A"/>
    <w:rsid w:val="249C62BB"/>
    <w:rsid w:val="25931122"/>
    <w:rsid w:val="26217550"/>
    <w:rsid w:val="267B6097"/>
    <w:rsid w:val="27B0263A"/>
    <w:rsid w:val="27E1458F"/>
    <w:rsid w:val="286B3B4E"/>
    <w:rsid w:val="28FE1800"/>
    <w:rsid w:val="29126F5D"/>
    <w:rsid w:val="2A5B29F9"/>
    <w:rsid w:val="2B0A5988"/>
    <w:rsid w:val="2C500100"/>
    <w:rsid w:val="2C7018CB"/>
    <w:rsid w:val="2D9468A8"/>
    <w:rsid w:val="2E4C2474"/>
    <w:rsid w:val="2ECF3CC2"/>
    <w:rsid w:val="2F076D76"/>
    <w:rsid w:val="2FCB1D0D"/>
    <w:rsid w:val="3098481A"/>
    <w:rsid w:val="311451A4"/>
    <w:rsid w:val="324159A6"/>
    <w:rsid w:val="32697AD0"/>
    <w:rsid w:val="342A141B"/>
    <w:rsid w:val="35294AEA"/>
    <w:rsid w:val="37007ADE"/>
    <w:rsid w:val="383D440E"/>
    <w:rsid w:val="393E678C"/>
    <w:rsid w:val="3DAC52A6"/>
    <w:rsid w:val="3DD94FB0"/>
    <w:rsid w:val="3DE12D46"/>
    <w:rsid w:val="3F1578F8"/>
    <w:rsid w:val="40634AC9"/>
    <w:rsid w:val="41E11C5E"/>
    <w:rsid w:val="420D54F7"/>
    <w:rsid w:val="42672385"/>
    <w:rsid w:val="42843918"/>
    <w:rsid w:val="436A76C0"/>
    <w:rsid w:val="436C7D7E"/>
    <w:rsid w:val="467B01DC"/>
    <w:rsid w:val="47E7709D"/>
    <w:rsid w:val="47EA0923"/>
    <w:rsid w:val="48DF7540"/>
    <w:rsid w:val="490325B7"/>
    <w:rsid w:val="49265300"/>
    <w:rsid w:val="4B1D1D88"/>
    <w:rsid w:val="4CEE1750"/>
    <w:rsid w:val="4E0C52F5"/>
    <w:rsid w:val="4F6010CA"/>
    <w:rsid w:val="501C2232"/>
    <w:rsid w:val="517B11FD"/>
    <w:rsid w:val="522B07B3"/>
    <w:rsid w:val="524C4A25"/>
    <w:rsid w:val="52C40D0F"/>
    <w:rsid w:val="554137E0"/>
    <w:rsid w:val="572E2FBD"/>
    <w:rsid w:val="58E43842"/>
    <w:rsid w:val="5AC853F2"/>
    <w:rsid w:val="5B5F4D7C"/>
    <w:rsid w:val="5C2B58D2"/>
    <w:rsid w:val="5CC90C33"/>
    <w:rsid w:val="5D35021E"/>
    <w:rsid w:val="5DEC0ED8"/>
    <w:rsid w:val="5F0500D7"/>
    <w:rsid w:val="60340CB9"/>
    <w:rsid w:val="60B92B56"/>
    <w:rsid w:val="61686D03"/>
    <w:rsid w:val="623678D5"/>
    <w:rsid w:val="623A6919"/>
    <w:rsid w:val="628B1E38"/>
    <w:rsid w:val="629C1EE8"/>
    <w:rsid w:val="62F767F2"/>
    <w:rsid w:val="62FB7F17"/>
    <w:rsid w:val="63FC59EE"/>
    <w:rsid w:val="665A5EB8"/>
    <w:rsid w:val="66963D6C"/>
    <w:rsid w:val="6BD40F38"/>
    <w:rsid w:val="6D6B48A6"/>
    <w:rsid w:val="6D8E5CCF"/>
    <w:rsid w:val="6EB206AF"/>
    <w:rsid w:val="6FC72123"/>
    <w:rsid w:val="6FD47DB9"/>
    <w:rsid w:val="712035B3"/>
    <w:rsid w:val="726E2937"/>
    <w:rsid w:val="75106537"/>
    <w:rsid w:val="75A16D6B"/>
    <w:rsid w:val="776B487D"/>
    <w:rsid w:val="78ED7825"/>
    <w:rsid w:val="79E44FEE"/>
    <w:rsid w:val="7A635B18"/>
    <w:rsid w:val="7BD1728A"/>
    <w:rsid w:val="7CDE1C6F"/>
    <w:rsid w:val="7E1079ED"/>
    <w:rsid w:val="7E3B707B"/>
    <w:rsid w:val="7E5E5BDA"/>
    <w:rsid w:val="7EF43C10"/>
    <w:rsid w:val="7F932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cp:lastPrinted>2020-10-14T06:52:35Z</cp:lastPrinted>
  <dcterms:modified xsi:type="dcterms:W3CDTF">2020-10-14T07:12:22Z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2052-11.1.0.9999</vt:lpwstr>
  </property>
</Properties>
</file>